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แสดงการประเมินคุณธรรม และความโปร่งใสในการดำเนินงานของหน่วยงาน ด้วยประเด็น ดังต่อไปนี้</w:t>
      </w:r>
    </w:p>
    <w:tbl>
      <w:tblPr>
        <w:tblStyle w:val="Table1"/>
        <w:tblW w:w="93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05"/>
        <w:gridCol w:w="3150"/>
        <w:tblGridChange w:id="0">
          <w:tblGrid>
            <w:gridCol w:w="6205"/>
            <w:gridCol w:w="3150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มาตรการที่เกี่ยวข้อง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หน่วยงานผู้ดูแล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กระบวนการปฏิบัติงานที่โปร่งใสและมีประสิทธิภาพ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(หน่วยทรัพยากรบุคคล)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กระบวนการควบคุม ตรวจสอบการใช้ อำนาจและการบริหารงานบุคคล  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(หน่วยทรัพยากรบุคคล)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การให้บริการและระบบ E-Service 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(หน่วยจัดกิจกรรมวิชาการ)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ช่องทางและรูปแบบการประชาสัมพันธ์ เผยแพร่ข้อมูลข่าวสารภาครัฐ 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(งานวิเทศฯ)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กระบวนการกำกับดูแลการใช้ทรัพย์สินของราชการ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(หมายถึง ครุภัณฑ์ และ รายการปรับปรุง)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(งานคลัง)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กระบวนการสร้างความโปร่งใสในการการจัดซื้อจัดจ้าง  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(งานคลัง)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กระบวนการใช้งบประมาณ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(หมายรวมถึงเงินรายได้และเงินงบประมาณ)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(งานกลยุทธ์ฯ)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กระบวนการจัดการความเสี่ยงด้านการทุจริต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(งานกลยุทธ์ฯ)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กลไกและมาตรการในการแก้ไขและป้องกันการทุจริตภายในหน่วยงาน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(หน่วยพัฒนาคุณภาพ)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center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รายงานข้อมูลคุณธรรมและความโปร่งใส ประจำปี 2569</w:t>
      </w:r>
    </w:p>
    <w:p w:rsidR="00000000" w:rsidDel="00000000" w:rsidP="00000000" w:rsidRDefault="00000000" w:rsidRPr="00000000" w14:paraId="00000027">
      <w:pPr>
        <w:spacing w:after="0" w:line="240" w:lineRule="auto"/>
        <w:jc w:val="center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งานวิเทศสัมพันธ์และประชาสัมพันธ์ คณะเภสัชศาสตร์ มหาวิทยาลัยมหิดล</w:t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แบบฟอร์มข้อ 2</w:t>
      </w: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5</w:t>
      </w: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มาตรการส่งเสริมคุณธรรมและความโปร่งใส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(ในช่วงเวลา 1 ต.ค.2567 – 30 ก.ย.2568)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  <w:rtl w:val="0"/>
        </w:rPr>
        <w:t xml:space="preserve">ประเด็นที่เกี่ยวข้อง: ช่องทางและรูปแบบการประชาสัมพันธ์ เผยแพร่ข้อมูลข่าวสารภาครัฐ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มาตรการ: การจัดการช่องทางสื่อสารและประชาสัมพันธ์ข้อมูลข่าวสารผ่านสื่อออนไลน์</w:t>
      </w:r>
    </w:p>
    <w:tbl>
      <w:tblPr>
        <w:tblStyle w:val="Table2"/>
        <w:tblW w:w="10085.0" w:type="dxa"/>
        <w:jc w:val="left"/>
        <w:tblInd w:w="-6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48"/>
        <w:gridCol w:w="8037"/>
        <w:tblGridChange w:id="0">
          <w:tblGrid>
            <w:gridCol w:w="2048"/>
            <w:gridCol w:w="8037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องค์ประกอบ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(ต้องมีครบทุกหัวข้อ)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วิธีดำเนินการ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มาตรการ โครงการ หรือกิจกรรม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Sarabun" w:cs="Sarabun" w:eastAsia="Sarabun" w:hAnsi="Sarabu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พัฒนาและจัดการช่องทางเผยแพร่ข้อมูลข่าวสารผ่านสื่อออนไลน์ที่หลากหลาย (Multi-platform) เช่น Website, Facebook, X,  Instagram และ LinkedIn เพื่อสร้างความโปร่งใสและเพิ่มช่องทางการสื่อสารและประชาสัมพันธ์ให้ประชาชนเข้าถึงข้อมูลได้สะดวกจากหลากหลายแพลต์ฟอร์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 ขั้นตอนหรือวิธีการปฏิบัติ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20"/>
              <w:jc w:val="left"/>
              <w:rPr>
                <w:rFonts w:ascii="Sarabun" w:cs="Sarabun" w:eastAsia="Sarabun" w:hAnsi="Sarabu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รวบรวมต้นเรื่อง: ติดตามข้อมูลจากหน่วยงานภายใน เช่น ข่าวกิจกรรมที่ดำเนินการเสร็จสิ้นแล้ว ประกาศรับสมัครงาน/ทุนการศึกษา หรือรายชื่อผู้ได้รับรางวัล เป็นต้น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 สร้างเนื้อหา: เรียบเรียงข้อมูลเป็นข่าวประชาสัมพันธ์ บทความสรุปกิจกรรม หรือโพสต์แสดงความยินดีในรูปแบบที่น่าสนใจและอ่านง่าย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 เผยแพร่ผ่านสื่อออนไลน์: นำคอนเทนต์ที่ผลิตเสร็จแล้วกระจายลงในทุกช่องทางโซเชียลมีเดียของคณะฯ เพื่อให้เข้าถึงนักศึกษา บุคลากร และบุคคลภายนอก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 ช่วงระยะเวลาในการ ดำเนินการ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ดำเนินการอย่างต่อเนื่องเป็นประจำทุกสัปดาห์ ตลอดปีงบประมาณ พ.ศ. 2568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 ผู้รับผิดชอบ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งานวิเทศสัมพันธ์และประชาสัมพันธ์ ดำเนินการเขียนข่าว ผลิตเนื้อหา และบริหารจัดการช่องทางออนไลน์</w:t>
            </w:r>
          </w:p>
        </w:tc>
      </w:tr>
    </w:tbl>
    <w:p w:rsidR="00000000" w:rsidDel="00000000" w:rsidP="00000000" w:rsidRDefault="00000000" w:rsidRPr="00000000" w14:paraId="0000003D">
      <w:pPr>
        <w:jc w:val="center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bCs w:val="1"/>
          <w:sz w:val="32"/>
          <w:szCs w:val="32"/>
        </w:rPr>
        <w:drawing>
          <wp:inline distB="0" distT="0" distL="0" distR="0">
            <wp:extent cx="3461271" cy="287161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61271" cy="28716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993" w:top="810" w:left="1440" w:right="1440" w:header="720" w:footer="26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Sarabun" w:cs="Sarabun" w:eastAsia="Sarabun" w:hAnsi="Sarabu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Sarabun" w:cs="Sarabun" w:eastAsia="Sarabun" w:hAnsi="Sarabu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มาตรการส่งเสริมคุณธรรมและความโปร่งใส คณะเภสัชศาสตร์      </w:t>
    </w:r>
    <w:r w:rsidDel="00000000" w:rsidR="00000000" w:rsidRPr="00000000">
      <w:rPr>
        <w:rFonts w:ascii="Sarabun" w:cs="Sarabun" w:eastAsia="Sarabun" w:hAnsi="Sarabu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Sarabun" w:cs="Sarabun" w:eastAsia="Sarabun" w:hAnsi="Sarabu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/IOoPfSP6tGeZVljC4Qxy42jcA==">CgMxLjA4AHIhMWxmY1dWd1pYRXNkSTNvVklZeDBuRlZQQTM3NWlGTVJL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